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D1D04" w14:textId="77777777" w:rsidR="0020676A" w:rsidRDefault="00000000">
      <w:pPr>
        <w:spacing w:before="280" w:line="280" w:lineRule="exact"/>
        <w:jc w:val="both"/>
      </w:pPr>
      <w:r>
        <w:rPr>
          <w:rFonts w:ascii="Calibri" w:eastAsia="Calibri" w:hAnsi="Calibri" w:hint="eastAsia"/>
          <w:color w:val="000000"/>
          <w:sz w:val="20"/>
        </w:rPr>
        <w:t>This information is confidential for members/owners only of Garden Point Inc.</w:t>
      </w:r>
    </w:p>
    <w:p w14:paraId="36BEF972" w14:textId="77777777" w:rsidR="0020676A" w:rsidRDefault="00000000">
      <w:pPr>
        <w:spacing w:after="260" w:line="280" w:lineRule="exact"/>
        <w:jc w:val="both"/>
      </w:pPr>
      <w:r>
        <w:rPr>
          <w:rFonts w:ascii="Calibri" w:eastAsia="Calibri" w:hAnsi="Calibri" w:hint="eastAsia"/>
          <w:color w:val="000000"/>
          <w:sz w:val="20"/>
        </w:rPr>
        <w:t>Members are prohibited from distributing this information to non-members.</w:t>
      </w:r>
    </w:p>
    <w:p w14:paraId="57745FD5" w14:textId="77777777" w:rsidR="0020676A" w:rsidRDefault="00000000">
      <w:pPr>
        <w:spacing w:line="280" w:lineRule="exact"/>
        <w:ind w:firstLine="2060"/>
      </w:pPr>
      <w:r>
        <w:rPr>
          <w:rFonts w:ascii="Calibri" w:eastAsia="Calibri" w:hAnsi="Calibri" w:hint="eastAsia"/>
          <w:color w:val="000000"/>
          <w:sz w:val="20"/>
        </w:rPr>
        <w:t>Garden Point Condominiums</w:t>
      </w:r>
    </w:p>
    <w:p w14:paraId="268D4AEB" w14:textId="77777777" w:rsidR="0020676A" w:rsidRDefault="00000000">
      <w:pPr>
        <w:spacing w:line="280" w:lineRule="exact"/>
        <w:ind w:firstLine="2060"/>
      </w:pPr>
      <w:r>
        <w:rPr>
          <w:rFonts w:ascii="Calibri" w:eastAsia="Calibri" w:hAnsi="Calibri" w:hint="eastAsia"/>
          <w:color w:val="000000"/>
          <w:sz w:val="20"/>
        </w:rPr>
        <w:t>Rules and Regulations #24</w:t>
      </w:r>
    </w:p>
    <w:p w14:paraId="157FD95D" w14:textId="57C8A7F9" w:rsidR="0020676A" w:rsidRDefault="00000000">
      <w:pPr>
        <w:tabs>
          <w:tab w:val="left" w:pos="6040"/>
        </w:tabs>
        <w:spacing w:after="260" w:line="200" w:lineRule="exact"/>
      </w:pPr>
      <w:r>
        <w:rPr>
          <w:rFonts w:ascii="Arial" w:eastAsia="Arial" w:hAnsi="Arial" w:hint="eastAsia"/>
          <w:color w:val="000000"/>
          <w:sz w:val="12"/>
        </w:rPr>
        <w:tab/>
      </w:r>
      <w:r w:rsidR="00705063">
        <w:rPr>
          <w:rFonts w:ascii="Calibri" w:eastAsia="Calibri" w:hAnsi="Calibri"/>
          <w:color w:val="000000"/>
          <w:sz w:val="14"/>
        </w:rPr>
        <w:t>5</w:t>
      </w:r>
      <w:r w:rsidR="00C45F4B">
        <w:rPr>
          <w:rFonts w:ascii="Calibri" w:eastAsia="Calibri" w:hAnsi="Calibri"/>
          <w:color w:val="000000"/>
          <w:sz w:val="14"/>
        </w:rPr>
        <w:t>/</w:t>
      </w:r>
      <w:r>
        <w:rPr>
          <w:rFonts w:ascii="Calibri" w:eastAsia="Calibri" w:hAnsi="Calibri" w:hint="eastAsia"/>
          <w:color w:val="000000"/>
          <w:sz w:val="14"/>
        </w:rPr>
        <w:t>14/</w:t>
      </w:r>
      <w:r w:rsidR="00C45F4B">
        <w:rPr>
          <w:rFonts w:ascii="Calibri" w:eastAsia="Calibri" w:hAnsi="Calibri"/>
          <w:color w:val="000000"/>
          <w:sz w:val="14"/>
        </w:rPr>
        <w:t>23</w:t>
      </w:r>
    </w:p>
    <w:p w14:paraId="64C27CE8" w14:textId="77777777" w:rsidR="0020676A" w:rsidRDefault="00000000">
      <w:pPr>
        <w:spacing w:after="200" w:line="280" w:lineRule="exact"/>
      </w:pPr>
      <w:r>
        <w:rPr>
          <w:rFonts w:ascii="Calibri" w:eastAsia="Calibri" w:hAnsi="Calibri" w:hint="eastAsia"/>
          <w:color w:val="000000"/>
          <w:sz w:val="20"/>
        </w:rPr>
        <w:t>Rules Regarding Boat Finger Docks:</w:t>
      </w:r>
    </w:p>
    <w:p w14:paraId="143EABFF" w14:textId="77777777" w:rsidR="0020676A" w:rsidRDefault="00000000">
      <w:pPr>
        <w:spacing w:after="200" w:line="280" w:lineRule="exact"/>
      </w:pPr>
      <w:r>
        <w:rPr>
          <w:rFonts w:ascii="Calibri" w:eastAsia="Calibri" w:hAnsi="Calibri" w:hint="eastAsia"/>
          <w:color w:val="000000"/>
          <w:sz w:val="20"/>
        </w:rPr>
        <w:t>1. Only assigned owners have the right to use his or her dock.</w:t>
      </w:r>
    </w:p>
    <w:p w14:paraId="435915B3" w14:textId="3623FF07" w:rsidR="0020676A" w:rsidRDefault="00000000">
      <w:pPr>
        <w:spacing w:after="200" w:line="280" w:lineRule="exact"/>
        <w:ind w:right="1560"/>
        <w:jc w:val="both"/>
      </w:pPr>
      <w:r>
        <w:rPr>
          <w:rFonts w:ascii="Calibri" w:eastAsia="Calibri" w:hAnsi="Calibri" w:hint="eastAsia"/>
          <w:color w:val="000000"/>
          <w:sz w:val="20"/>
        </w:rPr>
        <w:t xml:space="preserve">2. Boats must be owned by the Condo Owner and residing in their </w:t>
      </w:r>
      <w:r w:rsidR="006C1EDE">
        <w:rPr>
          <w:rFonts w:ascii="Calibri" w:eastAsia="Calibri" w:hAnsi="Calibri"/>
          <w:color w:val="000000"/>
          <w:sz w:val="20"/>
        </w:rPr>
        <w:t>Unit. Proof</w:t>
      </w:r>
      <w:r>
        <w:rPr>
          <w:rFonts w:ascii="Calibri" w:eastAsia="Calibri" w:hAnsi="Calibri" w:hint="eastAsia"/>
          <w:color w:val="000000"/>
          <w:sz w:val="20"/>
        </w:rPr>
        <w:t xml:space="preserve"> of </w:t>
      </w:r>
      <w:r w:rsidR="006C1EDE">
        <w:rPr>
          <w:rFonts w:ascii="Calibri" w:eastAsia="Calibri" w:hAnsi="Calibri"/>
          <w:color w:val="000000"/>
          <w:sz w:val="20"/>
        </w:rPr>
        <w:t>ownership, state</w:t>
      </w:r>
      <w:r>
        <w:rPr>
          <w:rFonts w:ascii="Calibri" w:eastAsia="Calibri" w:hAnsi="Calibri" w:hint="eastAsia"/>
          <w:color w:val="000000"/>
          <w:sz w:val="20"/>
        </w:rPr>
        <w:t xml:space="preserve"> registration and insurance documents must be provided to the Board and approved, prior to dock use.</w:t>
      </w:r>
    </w:p>
    <w:p w14:paraId="4BA2597B" w14:textId="77777777" w:rsidR="0020676A" w:rsidRDefault="00000000">
      <w:pPr>
        <w:spacing w:after="200" w:line="280" w:lineRule="exact"/>
      </w:pPr>
      <w:r>
        <w:rPr>
          <w:rFonts w:ascii="Calibri" w:eastAsia="Calibri" w:hAnsi="Calibri" w:hint="eastAsia"/>
          <w:color w:val="000000"/>
          <w:sz w:val="20"/>
        </w:rPr>
        <w:t>3. No heavy mechanical repairs/work allowed to be performed at docks.</w:t>
      </w:r>
    </w:p>
    <w:p w14:paraId="2E4F9B47" w14:textId="77777777" w:rsidR="0020676A" w:rsidRDefault="00000000">
      <w:pPr>
        <w:spacing w:after="260" w:line="280" w:lineRule="exact"/>
        <w:jc w:val="both"/>
      </w:pPr>
      <w:r>
        <w:rPr>
          <w:rFonts w:ascii="Calibri" w:eastAsia="Calibri" w:hAnsi="Calibri" w:hint="eastAsia"/>
          <w:color w:val="000000"/>
          <w:sz w:val="20"/>
        </w:rPr>
        <w:t>4. No loitering, partying, loud music or any unnecessary noise etc. allowed on or around the docks.</w:t>
      </w:r>
    </w:p>
    <w:p w14:paraId="3F04B33B" w14:textId="387BB6AE" w:rsidR="0020676A" w:rsidRDefault="00000000">
      <w:pPr>
        <w:spacing w:after="200" w:line="280" w:lineRule="exact"/>
        <w:jc w:val="both"/>
      </w:pPr>
      <w:r>
        <w:rPr>
          <w:rFonts w:ascii="Calibri" w:eastAsia="Calibri" w:hAnsi="Calibri" w:hint="eastAsia"/>
          <w:color w:val="000000"/>
          <w:sz w:val="20"/>
        </w:rPr>
        <w:t>5. $1</w:t>
      </w:r>
      <w:r w:rsidR="00C45F4B">
        <w:rPr>
          <w:rFonts w:ascii="Calibri" w:eastAsia="Calibri" w:hAnsi="Calibri"/>
          <w:color w:val="000000"/>
          <w:sz w:val="20"/>
        </w:rPr>
        <w:t>75</w:t>
      </w:r>
      <w:r>
        <w:rPr>
          <w:rFonts w:ascii="Calibri" w:eastAsia="Calibri" w:hAnsi="Calibri" w:hint="eastAsia"/>
          <w:color w:val="000000"/>
          <w:sz w:val="20"/>
        </w:rPr>
        <w:t>.00 annual fee for water and electric use to be paid by each boat owner.</w:t>
      </w:r>
      <w:r w:rsidR="00C676BE">
        <w:rPr>
          <w:rFonts w:ascii="Calibri" w:eastAsia="Calibri" w:hAnsi="Calibri"/>
          <w:color w:val="000000"/>
          <w:sz w:val="20"/>
        </w:rPr>
        <w:t xml:space="preserve"> </w:t>
      </w:r>
      <w:r>
        <w:rPr>
          <w:rFonts w:ascii="Calibri" w:eastAsia="Calibri" w:hAnsi="Calibri" w:hint="eastAsia"/>
          <w:color w:val="000000"/>
          <w:sz w:val="20"/>
        </w:rPr>
        <w:t>The Board has the discretion to adjust this annual amount as the economy dictates, or as municipal laws, taxes, electric or Manatee tax etc. may dictate.</w:t>
      </w:r>
    </w:p>
    <w:p w14:paraId="325CC05E" w14:textId="3A1D8AA9" w:rsidR="0020676A" w:rsidRDefault="00000000">
      <w:pPr>
        <w:spacing w:after="260" w:line="280" w:lineRule="exact"/>
        <w:jc w:val="both"/>
      </w:pPr>
      <w:r>
        <w:rPr>
          <w:rFonts w:ascii="Calibri" w:eastAsia="Calibri" w:hAnsi="Calibri" w:hint="eastAsia"/>
          <w:color w:val="000000"/>
          <w:sz w:val="20"/>
        </w:rPr>
        <w:t>6. All docks are deeded to the Association, assigned to an Owner on a rental basis,</w:t>
      </w:r>
      <w:r w:rsidR="00C676BE">
        <w:rPr>
          <w:rFonts w:ascii="Calibri" w:eastAsia="Calibri" w:hAnsi="Calibri"/>
          <w:color w:val="000000"/>
          <w:sz w:val="20"/>
        </w:rPr>
        <w:t xml:space="preserve"> </w:t>
      </w:r>
      <w:r>
        <w:rPr>
          <w:rFonts w:ascii="Calibri" w:eastAsia="Calibri" w:hAnsi="Calibri" w:hint="eastAsia"/>
          <w:color w:val="000000"/>
          <w:sz w:val="20"/>
        </w:rPr>
        <w:t xml:space="preserve">for a fixed fee, determined by the Board of Directors for the Owners exclusive use </w:t>
      </w:r>
      <w:proofErr w:type="gramStart"/>
      <w:r>
        <w:rPr>
          <w:rFonts w:ascii="Calibri" w:eastAsia="Calibri" w:hAnsi="Calibri" w:hint="eastAsia"/>
          <w:color w:val="000000"/>
          <w:sz w:val="20"/>
        </w:rPr>
        <w:t>as long as</w:t>
      </w:r>
      <w:proofErr w:type="gramEnd"/>
      <w:r>
        <w:rPr>
          <w:rFonts w:ascii="Calibri" w:eastAsia="Calibri" w:hAnsi="Calibri" w:hint="eastAsia"/>
          <w:color w:val="000000"/>
          <w:sz w:val="20"/>
        </w:rPr>
        <w:t xml:space="preserve"> the person owns his or her Condo unit at Garden Point Condominiums. Docks return to the Association for reassignment when an Owner sells their Condo or voluntarily relinquishes use for any </w:t>
      </w:r>
      <w:r w:rsidR="006C1EDE">
        <w:rPr>
          <w:rFonts w:ascii="Calibri" w:eastAsia="Calibri" w:hAnsi="Calibri"/>
          <w:color w:val="000000"/>
          <w:sz w:val="20"/>
        </w:rPr>
        <w:t>reason. Docks</w:t>
      </w:r>
      <w:r>
        <w:rPr>
          <w:rFonts w:ascii="Calibri" w:eastAsia="Calibri" w:hAnsi="Calibri" w:hint="eastAsia"/>
          <w:color w:val="000000"/>
          <w:sz w:val="20"/>
        </w:rPr>
        <w:t xml:space="preserve"> are reassigned to a waiting list of Owners, a new </w:t>
      </w:r>
      <w:proofErr w:type="gramStart"/>
      <w:r>
        <w:rPr>
          <w:rFonts w:ascii="Calibri" w:eastAsia="Calibri" w:hAnsi="Calibri" w:hint="eastAsia"/>
          <w:color w:val="000000"/>
          <w:sz w:val="20"/>
        </w:rPr>
        <w:t>one time</w:t>
      </w:r>
      <w:proofErr w:type="gramEnd"/>
      <w:r>
        <w:rPr>
          <w:rFonts w:ascii="Calibri" w:eastAsia="Calibri" w:hAnsi="Calibri" w:hint="eastAsia"/>
          <w:color w:val="000000"/>
          <w:sz w:val="20"/>
        </w:rPr>
        <w:t xml:space="preserve"> rental charge applies at that time to the new owner.</w:t>
      </w:r>
    </w:p>
    <w:p w14:paraId="2B4C9923" w14:textId="77777777" w:rsidR="0020676A" w:rsidRDefault="00000000">
      <w:pPr>
        <w:spacing w:line="280" w:lineRule="exact"/>
        <w:jc w:val="both"/>
      </w:pPr>
      <w:r>
        <w:rPr>
          <w:rFonts w:ascii="Calibri" w:eastAsia="Calibri" w:hAnsi="Calibri" w:hint="eastAsia"/>
          <w:color w:val="000000"/>
          <w:sz w:val="20"/>
        </w:rPr>
        <w:t>7. The Board cannot and will not accept down payments or (partial payments) to hold a dock for anyone. The following rules apply for payment and dock assignment:</w:t>
      </w:r>
    </w:p>
    <w:p w14:paraId="349B9607" w14:textId="77777777" w:rsidR="0020676A" w:rsidRDefault="00000000">
      <w:pPr>
        <w:spacing w:line="280" w:lineRule="exact"/>
        <w:ind w:left="380" w:firstLine="180"/>
      </w:pPr>
      <w:r>
        <w:rPr>
          <w:rFonts w:ascii="Calibri" w:eastAsia="Calibri" w:hAnsi="Calibri" w:hint="eastAsia"/>
          <w:color w:val="000000"/>
          <w:sz w:val="20"/>
        </w:rPr>
        <w:t>A. Payment must be made in full upon requesting a dock.</w:t>
      </w:r>
    </w:p>
    <w:p w14:paraId="4FD75ADE" w14:textId="104CE812" w:rsidR="0020676A" w:rsidRDefault="00000000">
      <w:pPr>
        <w:spacing w:line="280" w:lineRule="exact"/>
        <w:ind w:left="380" w:firstLine="180"/>
        <w:jc w:val="both"/>
      </w:pPr>
      <w:r>
        <w:rPr>
          <w:rFonts w:ascii="Calibri" w:eastAsia="Calibri" w:hAnsi="Calibri" w:hint="eastAsia"/>
          <w:color w:val="000000"/>
          <w:sz w:val="20"/>
        </w:rPr>
        <w:t>B. Owner has 180 days to produce proof of purchase of a boat or (documents proof of ownership).</w:t>
      </w:r>
      <w:r w:rsidR="00C676BE">
        <w:rPr>
          <w:rFonts w:ascii="Calibri" w:eastAsia="Calibri" w:hAnsi="Calibri"/>
          <w:color w:val="000000"/>
          <w:sz w:val="20"/>
        </w:rPr>
        <w:t xml:space="preserve"> The association has the right to tow the boat after 180 days and all costs will be assessed to the boat owner. (towing, storage, legal fees) </w:t>
      </w:r>
    </w:p>
    <w:p w14:paraId="13C5C5B3" w14:textId="77777777" w:rsidR="0020676A" w:rsidRDefault="00000000">
      <w:pPr>
        <w:spacing w:line="280" w:lineRule="exact"/>
        <w:ind w:left="380" w:firstLine="180"/>
        <w:jc w:val="both"/>
        <w:sectPr w:rsidR="0020676A" w:rsidSect="0020454F">
          <w:headerReference w:type="default" r:id="rId6"/>
          <w:type w:val="continuous"/>
          <w:pgSz w:w="11900" w:h="16840"/>
          <w:pgMar w:top="1440" w:right="720" w:bottom="720" w:left="1560" w:header="0" w:footer="0" w:gutter="0"/>
          <w:cols w:space="720"/>
        </w:sectPr>
      </w:pPr>
      <w:r>
        <w:rPr>
          <w:rFonts w:ascii="Calibri" w:eastAsia="Calibri" w:hAnsi="Calibri" w:hint="eastAsia"/>
          <w:color w:val="000000"/>
          <w:sz w:val="20"/>
        </w:rPr>
        <w:t>C. Owners must get Board approval on boat size at the time of a request for a Dock and full payment must be made at that time to obtain dockage.</w:t>
      </w:r>
    </w:p>
    <w:p w14:paraId="253E2FB5" w14:textId="77777777" w:rsidR="0020676A" w:rsidRDefault="00000000">
      <w:pPr>
        <w:spacing w:before="2360" w:line="460" w:lineRule="exact"/>
        <w:jc w:val="center"/>
      </w:pPr>
      <w:r>
        <w:rPr>
          <w:noProof/>
        </w:rPr>
        <w:drawing>
          <wp:inline distT="0" distB="0" distL="0" distR="0" wp14:anchorId="69735963" wp14:editId="09391D02">
            <wp:extent cx="304800" cy="292100"/>
            <wp:effectExtent l="0" t="0" r="0" b="0"/>
            <wp:docPr id="1" name="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Bitmap Image.jpg"/>
                    <pic:cNvPicPr/>
                  </pic:nvPicPr>
                  <pic:blipFill>
                    <a:blip r:embed="rId7" cstate="print"/>
                    <a:stretch>
                      <a:fillRect/>
                    </a:stretch>
                  </pic:blipFill>
                  <pic:spPr>
                    <a:xfrm>
                      <a:off x="0" y="0"/>
                      <a:ext cx="304800" cy="292100"/>
                    </a:xfrm>
                    <a:prstGeom prst="rect">
                      <a:avLst/>
                    </a:prstGeom>
                  </pic:spPr>
                </pic:pic>
              </a:graphicData>
            </a:graphic>
          </wp:inline>
        </w:drawing>
      </w:r>
    </w:p>
    <w:p w14:paraId="5DB8F7C3" w14:textId="77777777" w:rsidR="0020676A" w:rsidRDefault="00000000">
      <w:pPr>
        <w:spacing w:line="1" w:lineRule="exact"/>
      </w:pPr>
      <w:r>
        <w:br w:type="column"/>
      </w:r>
    </w:p>
    <w:p w14:paraId="1C05D8D8" w14:textId="77777777" w:rsidR="0020676A" w:rsidRDefault="00000000">
      <w:pPr>
        <w:spacing w:before="2500" w:line="240" w:lineRule="exact"/>
        <w:sectPr w:rsidR="0020676A" w:rsidSect="0020454F">
          <w:footerReference w:type="default" r:id="rId8"/>
          <w:type w:val="continuous"/>
          <w:pgSz w:w="11900" w:h="16840"/>
          <w:pgMar w:top="1440" w:right="720" w:bottom="720" w:left="1560" w:header="0" w:footer="0" w:gutter="0"/>
          <w:cols w:num="2" w:space="720" w:equalWidth="0">
            <w:col w:w="8260" w:space="0"/>
            <w:col w:w="1340" w:space="0"/>
          </w:cols>
          <w:titlePg/>
        </w:sectPr>
      </w:pPr>
      <w:proofErr w:type="spellStart"/>
      <w:r>
        <w:rPr>
          <w:rFonts w:ascii="Calibri" w:eastAsia="Calibri" w:hAnsi="Calibri" w:hint="eastAsia"/>
          <w:color w:val="000000"/>
          <w:sz w:val="20"/>
        </w:rPr>
        <w:t>CamScanner</w:t>
      </w:r>
      <w:proofErr w:type="spellEnd"/>
      <w:r>
        <w:br w:type="page"/>
      </w:r>
    </w:p>
    <w:p w14:paraId="275CAA9D" w14:textId="77777777" w:rsidR="0020676A" w:rsidRDefault="00000000">
      <w:pPr>
        <w:spacing w:line="300" w:lineRule="exact"/>
        <w:ind w:left="400" w:right="1080"/>
        <w:jc w:val="both"/>
      </w:pPr>
      <w:r>
        <w:rPr>
          <w:rFonts w:ascii="Calibri" w:eastAsia="Calibri" w:hAnsi="Calibri" w:hint="eastAsia"/>
          <w:color w:val="000000"/>
          <w:sz w:val="22"/>
        </w:rPr>
        <w:lastRenderedPageBreak/>
        <w:t>D. The Board will assign each dock based on boat size and reserves the right to reassign or (change assigned) boat slips based on size at the Boards discretion to best accommodate all owners.</w:t>
      </w:r>
    </w:p>
    <w:p w14:paraId="0F2F95BC" w14:textId="3A1945CF" w:rsidR="0020676A" w:rsidRDefault="00000000" w:rsidP="00785501">
      <w:pPr>
        <w:spacing w:after="260" w:line="300" w:lineRule="exact"/>
        <w:ind w:left="400"/>
        <w:jc w:val="both"/>
      </w:pPr>
      <w:r>
        <w:rPr>
          <w:rFonts w:ascii="Calibri" w:eastAsia="Calibri" w:hAnsi="Calibri" w:hint="eastAsia"/>
          <w:color w:val="000000"/>
          <w:sz w:val="22"/>
        </w:rPr>
        <w:t xml:space="preserve">E. Due to the high demand for boat docks, anyone not able to meet the requirements within the allotted time of (180 days) is subject to having the dock re-assigned to the next owner in line on the waiting list, at the Boards discretion. This Owner has the option of being placed back on the waiting list, however not at the top of the </w:t>
      </w:r>
      <w:r w:rsidR="00785501">
        <w:rPr>
          <w:rFonts w:ascii="Calibri" w:eastAsia="Calibri" w:hAnsi="Calibri"/>
          <w:color w:val="000000"/>
          <w:sz w:val="22"/>
        </w:rPr>
        <w:t>list, should</w:t>
      </w:r>
      <w:r>
        <w:rPr>
          <w:rFonts w:ascii="Calibri" w:eastAsia="Calibri" w:hAnsi="Calibri" w:hint="eastAsia"/>
          <w:color w:val="000000"/>
          <w:sz w:val="22"/>
        </w:rPr>
        <w:t xml:space="preserve"> one exist.</w:t>
      </w:r>
    </w:p>
    <w:p w14:paraId="2F901827" w14:textId="202817D9" w:rsidR="0020676A" w:rsidRDefault="00785501">
      <w:pPr>
        <w:spacing w:line="300" w:lineRule="exact"/>
        <w:jc w:val="both"/>
        <w:sectPr w:rsidR="0020676A" w:rsidSect="0020454F">
          <w:headerReference w:type="default" r:id="rId9"/>
          <w:type w:val="continuous"/>
          <w:pgSz w:w="11900" w:h="16840"/>
          <w:pgMar w:top="1200" w:right="720" w:bottom="720" w:left="1520" w:header="0" w:footer="0" w:gutter="0"/>
          <w:cols w:space="720"/>
        </w:sectPr>
      </w:pPr>
      <w:r>
        <w:rPr>
          <w:rFonts w:ascii="Calibri" w:eastAsia="Calibri" w:hAnsi="Calibri"/>
          <w:color w:val="000000"/>
          <w:sz w:val="22"/>
        </w:rPr>
        <w:t xml:space="preserve">   </w:t>
      </w:r>
      <w:proofErr w:type="gramStart"/>
      <w:r>
        <w:rPr>
          <w:rFonts w:ascii="Calibri" w:eastAsia="Calibri" w:hAnsi="Calibri"/>
          <w:color w:val="000000"/>
          <w:sz w:val="22"/>
        </w:rPr>
        <w:t xml:space="preserve">8 </w:t>
      </w:r>
      <w:r w:rsidR="00000000">
        <w:rPr>
          <w:rFonts w:ascii="Calibri" w:eastAsia="Calibri" w:hAnsi="Calibri" w:hint="eastAsia"/>
          <w:color w:val="000000"/>
          <w:sz w:val="22"/>
        </w:rPr>
        <w:t>.</w:t>
      </w:r>
      <w:proofErr w:type="gramEnd"/>
      <w:r w:rsidR="00000000">
        <w:rPr>
          <w:rFonts w:ascii="Calibri" w:eastAsia="Calibri" w:hAnsi="Calibri" w:hint="eastAsia"/>
          <w:color w:val="000000"/>
          <w:sz w:val="22"/>
        </w:rPr>
        <w:t xml:space="preserve"> No boatlifts or any related equipment or items are permitted at or on the docks that block any Unit </w:t>
      </w:r>
      <w:r>
        <w:rPr>
          <w:rFonts w:ascii="Calibri" w:eastAsia="Calibri" w:hAnsi="Calibri"/>
          <w:color w:val="000000"/>
          <w:sz w:val="22"/>
        </w:rPr>
        <w:t xml:space="preserve">       </w:t>
      </w:r>
      <w:r w:rsidR="00000000">
        <w:rPr>
          <w:rFonts w:ascii="Calibri" w:eastAsia="Calibri" w:hAnsi="Calibri" w:hint="eastAsia"/>
          <w:color w:val="000000"/>
          <w:sz w:val="22"/>
        </w:rPr>
        <w:t>Owners views.</w:t>
      </w:r>
    </w:p>
    <w:p w14:paraId="5F7C8D93" w14:textId="77777777" w:rsidR="00785501" w:rsidRDefault="00785501">
      <w:pPr>
        <w:spacing w:line="300" w:lineRule="exact"/>
        <w:ind w:left="400"/>
        <w:rPr>
          <w:rFonts w:ascii="Calibri" w:eastAsia="Calibri" w:hAnsi="Calibri"/>
          <w:color w:val="000000"/>
        </w:rPr>
      </w:pPr>
    </w:p>
    <w:p w14:paraId="56026438" w14:textId="7AB35BDF" w:rsidR="0020676A" w:rsidRDefault="00785501">
      <w:pPr>
        <w:spacing w:line="300" w:lineRule="exact"/>
        <w:ind w:left="400"/>
      </w:pPr>
      <w:r>
        <w:rPr>
          <w:rFonts w:ascii="Calibri" w:eastAsia="Calibri" w:hAnsi="Calibri"/>
          <w:color w:val="000000"/>
          <w:sz w:val="22"/>
        </w:rPr>
        <w:t xml:space="preserve">Winston </w:t>
      </w:r>
      <w:proofErr w:type="spellStart"/>
      <w:r>
        <w:rPr>
          <w:rFonts w:ascii="Calibri" w:eastAsia="Calibri" w:hAnsi="Calibri"/>
          <w:color w:val="000000"/>
          <w:sz w:val="22"/>
        </w:rPr>
        <w:t>Brayne</w:t>
      </w:r>
      <w:proofErr w:type="spellEnd"/>
    </w:p>
    <w:p w14:paraId="34CBAEBB" w14:textId="77777777" w:rsidR="0020676A" w:rsidRDefault="00000000">
      <w:pPr>
        <w:spacing w:line="300" w:lineRule="exact"/>
        <w:ind w:left="400"/>
        <w:jc w:val="both"/>
      </w:pPr>
      <w:r>
        <w:rPr>
          <w:rFonts w:ascii="Calibri" w:eastAsia="Calibri" w:hAnsi="Calibri" w:hint="eastAsia"/>
          <w:color w:val="000000"/>
          <w:sz w:val="22"/>
        </w:rPr>
        <w:t>President</w:t>
      </w:r>
    </w:p>
    <w:p w14:paraId="04FB157A" w14:textId="77777777" w:rsidR="0020676A" w:rsidRDefault="00000000">
      <w:pPr>
        <w:spacing w:after="200" w:line="300" w:lineRule="exact"/>
        <w:ind w:left="400"/>
      </w:pPr>
      <w:r>
        <w:rPr>
          <w:rFonts w:ascii="Calibri" w:eastAsia="Calibri" w:hAnsi="Calibri" w:hint="eastAsia"/>
          <w:color w:val="000000"/>
          <w:sz w:val="22"/>
        </w:rPr>
        <w:t>Garden Point Condominiums</w:t>
      </w:r>
    </w:p>
    <w:p w14:paraId="2F739F1F" w14:textId="4F2358F1" w:rsidR="0020676A" w:rsidRDefault="00000000">
      <w:pPr>
        <w:spacing w:after="3720" w:line="300" w:lineRule="exact"/>
        <w:ind w:left="400"/>
      </w:pPr>
      <w:r>
        <w:rPr>
          <w:rFonts w:ascii="Calibri" w:eastAsia="Calibri" w:hAnsi="Calibri" w:hint="eastAsia"/>
          <w:color w:val="000000"/>
          <w:sz w:val="22"/>
        </w:rPr>
        <w:t xml:space="preserve">Rev: </w:t>
      </w:r>
      <w:r w:rsidR="00785501">
        <w:rPr>
          <w:rFonts w:ascii="Calibri" w:eastAsia="Calibri" w:hAnsi="Calibri"/>
          <w:color w:val="000000"/>
          <w:sz w:val="22"/>
        </w:rPr>
        <w:t>5</w:t>
      </w:r>
      <w:r>
        <w:rPr>
          <w:rFonts w:ascii="Calibri" w:eastAsia="Calibri" w:hAnsi="Calibri" w:hint="eastAsia"/>
          <w:color w:val="000000"/>
          <w:sz w:val="22"/>
        </w:rPr>
        <w:t>/1</w:t>
      </w:r>
      <w:r w:rsidR="00785501">
        <w:rPr>
          <w:rFonts w:ascii="Calibri" w:eastAsia="Calibri" w:hAnsi="Calibri"/>
          <w:color w:val="000000"/>
          <w:sz w:val="22"/>
        </w:rPr>
        <w:t>4</w:t>
      </w:r>
      <w:r>
        <w:rPr>
          <w:rFonts w:ascii="Calibri" w:eastAsia="Calibri" w:hAnsi="Calibri" w:hint="eastAsia"/>
          <w:color w:val="000000"/>
          <w:sz w:val="22"/>
        </w:rPr>
        <w:t>/20</w:t>
      </w:r>
      <w:r w:rsidR="00785501">
        <w:rPr>
          <w:rFonts w:ascii="Calibri" w:eastAsia="Calibri" w:hAnsi="Calibri"/>
          <w:color w:val="000000"/>
          <w:sz w:val="22"/>
        </w:rPr>
        <w:t>23</w:t>
      </w:r>
    </w:p>
    <w:p w14:paraId="01AC2BC7" w14:textId="77777777" w:rsidR="0020676A" w:rsidRDefault="00000000">
      <w:pPr>
        <w:spacing w:after="2000" w:line="320" w:lineRule="exact"/>
        <w:ind w:left="400"/>
        <w:jc w:val="both"/>
      </w:pPr>
      <w:r>
        <w:rPr>
          <w:rFonts w:ascii="SimSun" w:eastAsia="SimSun" w:hAnsi="SimSun" w:hint="eastAsia"/>
          <w:color w:val="000000"/>
        </w:rPr>
        <w:t>2</w:t>
      </w:r>
    </w:p>
    <w:p w14:paraId="451817A8" w14:textId="77777777" w:rsidR="0020676A" w:rsidRDefault="00000000">
      <w:pPr>
        <w:jc w:val="right"/>
      </w:pPr>
      <w:r>
        <w:rPr>
          <w:noProof/>
        </w:rPr>
        <w:drawing>
          <wp:inline distT="0" distB="0" distL="0" distR="0" wp14:anchorId="6F1A9ABC" wp14:editId="6AAF034C">
            <wp:extent cx="292100" cy="292100"/>
            <wp:effectExtent l="0" t="0" r="0" b="0"/>
            <wp:docPr id="2" name="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Bitmap Image.jpg"/>
                    <pic:cNvPicPr/>
                  </pic:nvPicPr>
                  <pic:blipFill>
                    <a:blip r:embed="rId7" cstate="print"/>
                    <a:stretch>
                      <a:fillRect/>
                    </a:stretch>
                  </pic:blipFill>
                  <pic:spPr>
                    <a:xfrm>
                      <a:off x="0" y="0"/>
                      <a:ext cx="292100" cy="292100"/>
                    </a:xfrm>
                    <a:prstGeom prst="rect">
                      <a:avLst/>
                    </a:prstGeom>
                  </pic:spPr>
                </pic:pic>
              </a:graphicData>
            </a:graphic>
          </wp:inline>
        </w:drawing>
      </w:r>
    </w:p>
    <w:p w14:paraId="485061DF" w14:textId="77777777" w:rsidR="0020676A" w:rsidRDefault="00000000">
      <w:pPr>
        <w:spacing w:line="1" w:lineRule="exact"/>
      </w:pPr>
      <w:r>
        <w:br w:type="column"/>
      </w:r>
    </w:p>
    <w:p w14:paraId="4EC790B0" w14:textId="77777777" w:rsidR="0020676A" w:rsidRDefault="00000000">
      <w:pPr>
        <w:spacing w:before="8640" w:line="240" w:lineRule="exact"/>
        <w:sectPr w:rsidR="0020676A" w:rsidSect="0020454F">
          <w:type w:val="continuous"/>
          <w:pgSz w:w="11900" w:h="16840"/>
          <w:pgMar w:top="1200" w:right="720" w:bottom="720" w:left="1520" w:header="0" w:footer="0" w:gutter="0"/>
          <w:cols w:num="2" w:space="720" w:equalWidth="0">
            <w:col w:w="8280" w:space="20"/>
            <w:col w:w="1340" w:space="0"/>
          </w:cols>
        </w:sectPr>
      </w:pPr>
      <w:proofErr w:type="spellStart"/>
      <w:r>
        <w:rPr>
          <w:rFonts w:ascii="Calibri" w:eastAsia="Calibri" w:hAnsi="Calibri" w:hint="eastAsia"/>
          <w:color w:val="000000"/>
          <w:sz w:val="20"/>
        </w:rPr>
        <w:t>CamScanner</w:t>
      </w:r>
      <w:proofErr w:type="spellEnd"/>
    </w:p>
    <w:p w14:paraId="59068042" w14:textId="77777777" w:rsidR="0020676A" w:rsidRDefault="0020676A">
      <w:pPr>
        <w:spacing w:line="1" w:lineRule="exact"/>
      </w:pPr>
    </w:p>
    <w:sectPr w:rsidR="0020676A">
      <w:type w:val="continuous"/>
      <w:pgSz w:w="11900" w:h="16840"/>
      <w:pgMar w:top="1200" w:right="720" w:bottom="720" w:left="15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F8451" w14:textId="77777777" w:rsidR="0020454F" w:rsidRDefault="0020454F">
      <w:r>
        <w:separator/>
      </w:r>
    </w:p>
  </w:endnote>
  <w:endnote w:type="continuationSeparator" w:id="0">
    <w:p w14:paraId="20826F23" w14:textId="77777777" w:rsidR="0020454F" w:rsidRDefault="00204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BDF4E" w14:textId="77777777" w:rsidR="0020676A" w:rsidRDefault="002067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A4267" w14:textId="77777777" w:rsidR="0020454F" w:rsidRDefault="0020454F">
      <w:r>
        <w:separator/>
      </w:r>
    </w:p>
  </w:footnote>
  <w:footnote w:type="continuationSeparator" w:id="0">
    <w:p w14:paraId="68B45A4C" w14:textId="77777777" w:rsidR="0020454F" w:rsidRDefault="00204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B181B" w14:textId="77777777" w:rsidR="0020676A" w:rsidRDefault="0020676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F0B3D" w14:textId="77777777" w:rsidR="0020676A" w:rsidRDefault="0020676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BC8"/>
    <w:rsid w:val="000D6051"/>
    <w:rsid w:val="0020454F"/>
    <w:rsid w:val="0020676A"/>
    <w:rsid w:val="00530957"/>
    <w:rsid w:val="006C1EDE"/>
    <w:rsid w:val="00705063"/>
    <w:rsid w:val="00785501"/>
    <w:rsid w:val="009F0BE0"/>
    <w:rsid w:val="00BA6D97"/>
    <w:rsid w:val="00BD0BC8"/>
    <w:rsid w:val="00C45F4B"/>
    <w:rsid w:val="00C676BE"/>
    <w:rsid w:val="00F67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5E392"/>
  <w15:chartTrackingRefBased/>
  <w15:docId w15:val="{96431983-C890-485F-95E8-B387FD72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415</Words>
  <Characters>2370</Characters>
  <Application>Microsoft Office Word</Application>
  <DocSecurity>0</DocSecurity>
  <Lines>19</Lines>
  <Paragraphs>5</Paragraphs>
  <ScaleCrop>false</ScaleCrop>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wordbuilder</dc:title>
  <dc:subject/>
  <dc:creator>INTSIG</dc:creator>
  <cp:keywords/>
  <dc:description>Intsig Word Converter</dc:description>
  <cp:lastModifiedBy>Laura Sachs</cp:lastModifiedBy>
  <cp:revision>6</cp:revision>
  <dcterms:created xsi:type="dcterms:W3CDTF">2024-01-18T17:10:00Z</dcterms:created>
  <dcterms:modified xsi:type="dcterms:W3CDTF">2024-01-18T17:38:00Z</dcterms:modified>
</cp:coreProperties>
</file>